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p>
      <w:pPr>
        <w:spacing w:after="0" w:beforeAutospacing="0" w:afterAutospacing="0"/>
        <w:ind w:firstLine="5812"/>
        <w:rPr>
          <w:rFonts w:ascii="Times New Roman" w:hAnsi="Times New Roman"/>
          <w:sz w:val="24"/>
          <w:szCs w:val="24"/>
        </w:rPr>
      </w:pPr>
    </w:p>
    <w:p>
      <w:pPr>
        <w:spacing w:after="0" w:beforeAutospacing="0" w:afterAutospacing="0"/>
        <w:ind w:firstLine="5812"/>
        <w:rPr>
          <w:rFonts w:ascii="Times New Roman" w:hAnsi="Times New Roman"/>
          <w:sz w:val="24"/>
          <w:szCs w:val="24"/>
        </w:rPr>
      </w:pPr>
      <w:r>
        <w:rPr>
          <w:rFonts w:ascii="Times New Roman" w:hAnsi="Times New Roman"/>
          <w:sz w:val="24"/>
          <w:szCs w:val="24"/>
        </w:rPr>
        <w:t>Додаток 20</w:t>
      </w:r>
    </w:p>
    <w:p>
      <w:pPr>
        <w:spacing w:after="0" w:beforeAutospacing="0" w:afterAutospacing="0"/>
        <w:ind w:firstLine="5812"/>
        <w:rPr>
          <w:rFonts w:ascii="Times New Roman" w:hAnsi="Times New Roman"/>
          <w:sz w:val="24"/>
          <w:szCs w:val="24"/>
        </w:rPr>
      </w:pPr>
      <w:r>
        <w:rPr>
          <w:rFonts w:ascii="Times New Roman" w:hAnsi="Times New Roman"/>
          <w:sz w:val="24"/>
          <w:szCs w:val="24"/>
        </w:rPr>
        <w:t>до рішення виконавчого комітету</w:t>
      </w:r>
    </w:p>
    <w:p>
      <w:pPr>
        <w:spacing w:after="0" w:beforeAutospacing="0" w:afterAutospacing="0"/>
        <w:ind w:firstLine="5812"/>
        <w:rPr>
          <w:rFonts w:ascii="Times New Roman" w:hAnsi="Times New Roman"/>
          <w:sz w:val="24"/>
          <w:szCs w:val="24"/>
        </w:rPr>
      </w:pPr>
      <w:r>
        <w:rPr>
          <w:rFonts w:ascii="Times New Roman" w:hAnsi="Times New Roman"/>
          <w:sz w:val="24"/>
          <w:szCs w:val="24"/>
        </w:rPr>
        <w:t>міської ради</w:t>
      </w:r>
    </w:p>
    <w:p>
      <w:pPr>
        <w:spacing w:after="0" w:beforeAutospacing="0" w:afterAutospacing="0"/>
        <w:ind w:firstLine="5812"/>
        <w:rPr>
          <w:rFonts w:ascii="Times New Roman" w:hAnsi="Times New Roman"/>
          <w:sz w:val="24"/>
          <w:szCs w:val="24"/>
        </w:rPr>
      </w:pPr>
    </w:p>
    <w:p>
      <w:pPr>
        <w:tabs>
          <w:tab w:val="left" w:pos="252" w:leader="none"/>
        </w:tabs>
        <w:spacing w:after="0" w:beforeAutospacing="0" w:afterAutospacing="0"/>
        <w:rPr>
          <w:rFonts w:ascii="Times New Roman" w:hAnsi="Times New Roman"/>
          <w:sz w:val="24"/>
          <w:szCs w:val="24"/>
        </w:rPr>
      </w:pPr>
      <w:r>
        <w:rPr>
          <w:rFonts w:ascii="Times New Roman" w:hAnsi="Times New Roman"/>
          <w:sz w:val="24"/>
          <w:szCs w:val="24"/>
        </w:rPr>
        <w:t>Перелік документів, необхідних для отримання довідки про перебування (не перебування) на кооперативному обліку у виконавчому комітеті.</w:t>
      </w:r>
    </w:p>
    <w:p>
      <w:pPr>
        <w:tabs>
          <w:tab w:val="left" w:pos="252" w:leader="none"/>
        </w:tabs>
        <w:spacing w:after="0" w:beforeAutospacing="0" w:afterAutospacing="0"/>
        <w:rPr>
          <w:rFonts w:ascii="Times New Roman" w:hAnsi="Times New Roman"/>
          <w:sz w:val="24"/>
          <w:szCs w:val="24"/>
        </w:rPr>
      </w:pPr>
      <w:r>
        <w:rPr>
          <w:rFonts w:ascii="Times New Roman" w:hAnsi="Times New Roman"/>
          <w:sz w:val="24"/>
          <w:szCs w:val="24"/>
        </w:rPr>
        <w:t xml:space="preserve">        Перелік документів, необхідних для отримання довідки про перебування  на кооперативному обліку у виконавчому комітеті:</w:t>
      </w:r>
    </w:p>
    <w:p>
      <w:pPr>
        <w:numPr>
          <w:ilvl w:val="0"/>
          <w:numId w:val="1"/>
        </w:numPr>
        <w:tabs>
          <w:tab w:val="left" w:pos="0" w:leader="none"/>
        </w:tabs>
        <w:spacing w:lineRule="auto" w:line="240" w:after="0" w:beforeAutospacing="0" w:afterAutospacing="0"/>
        <w:ind w:hanging="284" w:left="284"/>
        <w:rPr>
          <w:rFonts w:ascii="Times New Roman" w:hAnsi="Times New Roman"/>
          <w:sz w:val="24"/>
          <w:szCs w:val="24"/>
        </w:rPr>
      </w:pPr>
      <w:r>
        <w:rPr>
          <w:rFonts w:ascii="Times New Roman" w:hAnsi="Times New Roman"/>
          <w:sz w:val="24"/>
          <w:szCs w:val="24"/>
        </w:rPr>
        <w:t xml:space="preserve">Заява встановленого зразка. </w:t>
      </w:r>
    </w:p>
    <w:p>
      <w:pPr>
        <w:tabs>
          <w:tab w:val="left" w:pos="0" w:leader="none"/>
        </w:tabs>
        <w:spacing w:after="0" w:beforeAutospacing="0" w:afterAutospacing="0"/>
        <w:rPr>
          <w:rFonts w:ascii="Times New Roman" w:hAnsi="Times New Roman"/>
          <w:sz w:val="24"/>
          <w:szCs w:val="24"/>
        </w:rPr>
      </w:pPr>
      <w:r>
        <w:rPr>
          <w:rFonts w:ascii="Times New Roman" w:hAnsi="Times New Roman"/>
          <w:sz w:val="24"/>
          <w:szCs w:val="24"/>
        </w:rPr>
        <w:t xml:space="preserve">2. Для осіб які не пройшли щорічну перереєстрацію перебування на кооперативному обліку та не поновили облікові дані: </w:t>
      </w:r>
    </w:p>
    <w:p>
      <w:pPr>
        <w:pStyle w:val="P1"/>
      </w:pPr>
      <w:r>
        <w:t>2.1. Технічний паспорт на житлове приміщення.</w:t>
      </w:r>
    </w:p>
    <w:p>
      <w:pPr>
        <w:spacing w:after="0" w:beforeAutospacing="0" w:afterAutospacing="0"/>
        <w:jc w:val="both"/>
        <w:rPr>
          <w:rFonts w:ascii="Times New Roman" w:hAnsi="Times New Roman"/>
          <w:color w:val="000000"/>
          <w:sz w:val="24"/>
          <w:szCs w:val="24"/>
        </w:rPr>
      </w:pPr>
      <w:r>
        <w:rPr>
          <w:rFonts w:ascii="Times New Roman" w:hAnsi="Times New Roman"/>
          <w:sz w:val="24"/>
          <w:szCs w:val="24"/>
        </w:rPr>
        <w:t>2.2. Акт обстеження</w:t>
      </w:r>
      <w:r>
        <w:rPr>
          <w:rFonts w:ascii="Times New Roman" w:hAnsi="Times New Roman"/>
          <w:color w:val="000000"/>
          <w:sz w:val="24"/>
          <w:szCs w:val="24"/>
        </w:rPr>
        <w:t xml:space="preserve"> житлових умов заявника (з підприємства, на обслуговуванні якого перебуває будинок), виданий не раніше ніж за 1 місяць до дня подання документів.</w:t>
      </w:r>
    </w:p>
    <w:p>
      <w:pPr>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rPr>
        <w:t>2.3 Договір найму(оренди), піднайму жилого приміщення (за наявності).</w:t>
      </w:r>
    </w:p>
    <w:p>
      <w:pPr>
        <w:spacing w:after="0" w:beforeAutospacing="0" w:afterAutospacing="0"/>
        <w:rPr>
          <w:rFonts w:ascii="Times New Roman" w:hAnsi="Times New Roman"/>
          <w:color w:val="000000"/>
          <w:sz w:val="24"/>
          <w:szCs w:val="24"/>
        </w:rPr>
      </w:pPr>
      <w:r>
        <w:rPr>
          <w:rFonts w:ascii="Times New Roman" w:hAnsi="Times New Roman"/>
          <w:color w:val="000000"/>
          <w:sz w:val="24"/>
          <w:szCs w:val="24"/>
        </w:rPr>
        <w:t xml:space="preserve">2.4.  </w:t>
      </w:r>
      <w:r>
        <w:rPr>
          <w:rFonts w:ascii="Times New Roman" w:hAnsi="Times New Roman"/>
          <w:color w:val="000000"/>
          <w:sz w:val="24"/>
          <w:szCs w:val="24"/>
          <w:shd w:val="clear" w:color="auto" w:fill="FFFFFF"/>
        </w:rPr>
        <w:t xml:space="preserve">Довідки  про  те,  чи  перебуває заявник та члени його сім’ї на квартирному та кооперативному обліку  за  місцем  роботи.</w:t>
      </w:r>
    </w:p>
    <w:p>
      <w:pPr>
        <w:tabs>
          <w:tab w:val="left" w:pos="0" w:leader="none"/>
        </w:tabs>
        <w:spacing w:after="0" w:beforeAutospacing="0" w:afterAutospacing="0"/>
        <w:jc w:val="both"/>
        <w:rPr>
          <w:rFonts w:ascii="Times New Roman" w:hAnsi="Times New Roman"/>
          <w:sz w:val="24"/>
          <w:szCs w:val="24"/>
        </w:rPr>
      </w:pPr>
      <w:r>
        <w:rPr>
          <w:rFonts w:ascii="Times New Roman" w:hAnsi="Times New Roman"/>
          <w:color w:val="943634"/>
          <w:sz w:val="24"/>
          <w:szCs w:val="24"/>
        </w:rPr>
        <w:t xml:space="preserve"> </w:t>
      </w:r>
      <w:r>
        <w:rPr>
          <w:rFonts w:ascii="Times New Roman" w:hAnsi="Times New Roman"/>
          <w:sz w:val="24"/>
          <w:szCs w:val="24"/>
        </w:rPr>
        <w:t xml:space="preserve">2.5. Довідки про наявність чи відсутність зареєстрованого права приватної власності на будинок (квартиру) на заявника та членів його сім’ї (для мешканців м. Тернополя з ТОВ «Міське бюро технічної інвентаризації», </w:t>
      </w:r>
      <w:r>
        <w:rPr>
          <w:rFonts w:ascii="Times New Roman" w:hAnsi="Times New Roman"/>
          <w:bCs w:val="1"/>
          <w:sz w:val="24"/>
          <w:szCs w:val="24"/>
        </w:rPr>
        <w:t xml:space="preserve">для мешканців населених пунктів, які входять у склад Тернопільської міської територіальної громади </w:t>
      </w:r>
      <w:r>
        <w:rPr>
          <w:rFonts w:ascii="Times New Roman" w:hAnsi="Times New Roman"/>
          <w:sz w:val="24"/>
          <w:szCs w:val="24"/>
        </w:rPr>
        <w:t xml:space="preserve">з </w:t>
      </w:r>
      <w:r>
        <w:rPr>
          <w:rFonts w:ascii="Times New Roman" w:hAnsi="Times New Roman"/>
          <w:bCs w:val="1"/>
          <w:sz w:val="24"/>
          <w:szCs w:val="24"/>
        </w:rPr>
        <w:t>Зборівського районного бюро технічної інвентаризації</w:t>
      </w:r>
      <w:r>
        <w:rPr>
          <w:rFonts w:ascii="Times New Roman" w:hAnsi="Times New Roman"/>
          <w:sz w:val="24"/>
          <w:szCs w:val="24"/>
        </w:rPr>
        <w:t>).</w:t>
      </w:r>
    </w:p>
    <w:p>
      <w:pPr>
        <w:tabs>
          <w:tab w:val="left" w:pos="13" w:leader="none"/>
        </w:tabs>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shd w:val="clear" w:color="auto" w:fill="FFFFFF"/>
        </w:rPr>
        <w:t>2.6 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pPr>
        <w:tabs>
          <w:tab w:val="left" w:pos="13" w:leader="none"/>
        </w:tabs>
        <w:spacing w:after="0" w:beforeAutospacing="0" w:afterAutospacing="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2.7. Один з передбачених </w:t>
      </w:r>
      <w:hyperlink xmlns:r="http://schemas.openxmlformats.org/officeDocument/2006/relationships" r:id="R2" w:tgtFrame="_blank">
        <w:r>
          <w:rPr>
            <w:rStyle w:val="C2"/>
            <w:rFonts w:ascii="Times New Roman" w:hAnsi="Times New Roman"/>
            <w:color w:val="000000"/>
            <w:sz w:val="24"/>
            <w:szCs w:val="24"/>
            <w:u w:val="none"/>
            <w:shd w:val="clear" w:color="auto" w:fill="FFFFFF"/>
          </w:rPr>
          <w:t>Податковим кодексом України</w:t>
        </w:r>
      </w:hyperlink>
      <w:r>
        <w:rPr>
          <w:rFonts w:ascii="Times New Roman" w:hAnsi="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pPr>
        <w:tabs>
          <w:tab w:val="left" w:pos="13" w:leader="none"/>
        </w:tabs>
        <w:spacing w:after="0" w:beforeAutospacing="0" w:afterAutospacing="0"/>
        <w:jc w:val="both"/>
        <w:rPr>
          <w:rFonts w:ascii="Times New Roman" w:hAnsi="Times New Roman"/>
          <w:sz w:val="24"/>
          <w:szCs w:val="24"/>
          <w:shd w:val="clear" w:color="auto" w:fill="FFFFFF"/>
        </w:rPr>
      </w:pPr>
      <w:r>
        <w:rPr>
          <w:rFonts w:ascii="Times New Roman" w:hAnsi="Times New Roman"/>
          <w:color w:val="000000"/>
          <w:sz w:val="24"/>
          <w:szCs w:val="24"/>
          <w:shd w:val="clear" w:color="auto" w:fill="FFFFFF"/>
        </w:rPr>
        <w:t xml:space="preserve">2.8.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w:t>
      </w:r>
      <w:r>
        <w:rPr>
          <w:rFonts w:ascii="Times New Roman" w:hAnsi="Times New Roman"/>
          <w:sz w:val="24"/>
          <w:szCs w:val="24"/>
          <w:shd w:val="clear" w:color="auto" w:fill="FFFFFF"/>
        </w:rPr>
        <w:t>набрало законної сили, витяг з Державного реєстру актів цивільного стану громадян, тощо).</w:t>
      </w:r>
    </w:p>
    <w:p>
      <w:pPr>
        <w:tabs>
          <w:tab w:val="left" w:pos="13" w:leader="none"/>
        </w:tabs>
        <w:spacing w:after="0" w:beforeAutospacing="0" w:afterAutospacing="0"/>
        <w:jc w:val="both"/>
        <w:rPr>
          <w:rFonts w:ascii="Times New Roman" w:hAnsi="Times New Roman"/>
          <w:sz w:val="24"/>
          <w:szCs w:val="24"/>
        </w:rPr>
      </w:pPr>
      <w:r>
        <w:rPr>
          <w:rFonts w:ascii="Times New Roman" w:hAnsi="Times New Roman"/>
          <w:sz w:val="24"/>
          <w:szCs w:val="24"/>
          <w:shd w:val="clear" w:color="auto" w:fill="FFFFFF"/>
        </w:rPr>
        <w:t>2.9.</w:t>
      </w:r>
      <w:r>
        <w:rPr>
          <w:rFonts w:ascii="Times New Roman" w:hAnsi="Times New Roman"/>
          <w:sz w:val="24"/>
          <w:szCs w:val="24"/>
        </w:rPr>
        <w:t>Пільгові документи, що посвідчують право заявника на пільги згідно законодавства (за наявності).</w:t>
      </w:r>
    </w:p>
    <w:p>
      <w:pPr>
        <w:tabs>
          <w:tab w:val="left" w:pos="13" w:leader="none"/>
        </w:tabs>
        <w:spacing w:after="0" w:beforeAutospacing="0" w:afterAutospacing="0"/>
        <w:jc w:val="both"/>
        <w:rPr>
          <w:rFonts w:ascii="Times New Roman" w:hAnsi="Times New Roman"/>
          <w:sz w:val="24"/>
          <w:szCs w:val="24"/>
        </w:rPr>
      </w:pPr>
      <w:r>
        <w:rPr>
          <w:rFonts w:ascii="Times New Roman" w:hAnsi="Times New Roman"/>
          <w:sz w:val="24"/>
          <w:szCs w:val="24"/>
        </w:rPr>
        <w:t xml:space="preserve">        Перелік документів, необхідних для отримання довідки про не перебування  на кооперативному обліку у виконавчому комітеті:</w:t>
      </w:r>
    </w:p>
    <w:p>
      <w:pPr>
        <w:numPr>
          <w:ilvl w:val="0"/>
          <w:numId w:val="2"/>
        </w:numPr>
        <w:tabs>
          <w:tab w:val="num" w:pos="72" w:leader="none"/>
          <w:tab w:val="left" w:pos="193" w:leader="none"/>
          <w:tab w:val="left" w:pos="432" w:leader="none"/>
        </w:tabs>
        <w:spacing w:lineRule="auto" w:line="240" w:after="0" w:beforeAutospacing="0" w:afterAutospacing="0"/>
        <w:ind w:firstLine="0" w:left="74"/>
        <w:rPr>
          <w:rFonts w:ascii="Times New Roman" w:hAnsi="Times New Roman"/>
          <w:sz w:val="24"/>
          <w:szCs w:val="24"/>
        </w:rPr>
      </w:pPr>
      <w:r>
        <w:rPr>
          <w:rFonts w:ascii="Times New Roman" w:hAnsi="Times New Roman"/>
          <w:sz w:val="24"/>
          <w:szCs w:val="24"/>
        </w:rPr>
        <w:t xml:space="preserve">Заява встановленого зразка. </w:t>
      </w:r>
    </w:p>
    <w:p>
      <w:pPr>
        <w:pStyle w:val="P1"/>
        <w:tabs>
          <w:tab w:val="left" w:pos="0" w:leader="none"/>
        </w:tabs>
        <w:ind w:left="74"/>
        <w:rPr>
          <w:color w:val="FF0000"/>
        </w:rPr>
      </w:pPr>
      <w:r>
        <w:t xml:space="preserve">2. </w:t>
      </w:r>
      <w:r>
        <w:rPr>
          <w:shd w:val="clear" w:color="auto" w:fill="FFFFFF"/>
        </w:rPr>
        <w:t>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w:t>
      </w:r>
    </w:p>
    <w:p>
      <w:pPr>
        <w:tabs>
          <w:tab w:val="num" w:pos="72" w:leader="none"/>
          <w:tab w:val="left" w:pos="240" w:leader="none"/>
          <w:tab w:val="left" w:pos="432" w:leader="none"/>
        </w:tabs>
        <w:spacing w:after="0" w:beforeAutospacing="0" w:afterAutospacing="0"/>
        <w:ind w:left="74"/>
        <w:jc w:val="center"/>
        <w:rPr>
          <w:rFonts w:ascii="Times New Roman" w:hAnsi="Times New Roman"/>
          <w:b w:val="1"/>
          <w:color w:val="FF0000"/>
          <w:sz w:val="24"/>
          <w:szCs w:val="24"/>
        </w:rPr>
      </w:pPr>
    </w:p>
    <w:p>
      <w:pPr>
        <w:spacing w:after="0" w:beforeAutospacing="0" w:afterAutospacing="0"/>
        <w:rPr>
          <w:rFonts w:ascii="Times New Roman" w:hAnsi="Times New Roman"/>
          <w:sz w:val="24"/>
          <w:szCs w:val="24"/>
        </w:rPr>
      </w:pPr>
      <w:r>
        <w:rPr>
          <w:rFonts w:ascii="Times New Roman" w:hAnsi="Times New Roman"/>
          <w:sz w:val="24"/>
          <w:szCs w:val="24"/>
        </w:rPr>
        <w:t xml:space="preserve">Міський голова </w:t>
        <w:tab/>
        <w:tab/>
        <w:tab/>
        <w:t xml:space="preserve">   </w:t>
        <w:tab/>
        <w:tab/>
        <w:t xml:space="preserve">              </w:t>
        <w:tab/>
        <w:t xml:space="preserve">              Сергій НАДАЛ</w:t>
      </w:r>
    </w:p>
    <w:p>
      <w:pPr>
        <w:spacing w:after="0" w:beforeAutospacing="0" w:afterAutospacing="0"/>
        <w:rPr>
          <w:rFonts w:ascii="Times New Roman" w:hAnsi="Times New Roman"/>
          <w:sz w:val="24"/>
          <w:szCs w:val="24"/>
        </w:rPr>
      </w:pPr>
    </w:p>
    <w:sectPr>
      <w:headerReference xmlns:r="http://schemas.openxmlformats.org/officeDocument/2006/relationships" w:type="default" r:id="RelHdr1"/>
      <w:type w:val="nextPage"/>
      <w:pgSz w:w="11906" w:h="16838" w:code="0"/>
      <w:pgMar w:left="1985" w:right="567" w:top="1134" w:bottom="1985" w:header="709" w:footer="709" w:gutter="0"/>
      <w:titlePg w:val="1"/>
    </w:sectPr>
  </w:body>
</w:document>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pPr>
      <w:jc w:val="center"/>
      <w:rPr>
        <w:rFonts w:ascii="Times New Roman" w:hAnsi="Times New Roman"/>
        <w:sz w:val="24"/>
      </w:rPr>
    </w:pPr>
    <w:r>
      <w:rPr>
        <w:rFonts w:ascii="Times New Roman" w:hAnsi="Times New Roman"/>
        <w:sz w:val="24"/>
      </w:rPr>
      <w:t>2</w:t>
    </w:r>
  </w:p>
</w:hdr>
</file>

<file path=word/numbering.xml><?xml version="1.0" encoding="utf-8"?>
<w:numbering xmlns:w="http://schemas.openxmlformats.org/wordprocessingml/2006/main">
  <w:abstractNum w:abstractNumId="0">
    <w:nsid w:val="63C141E7"/>
    <w:multiLevelType w:val="multilevel"/>
    <w:lvl w:ilvl="0">
      <w:start w:val="1"/>
      <w:numFmt w:val="decimal"/>
      <w:suff w:val="tab"/>
      <w:lvlText w:val="%1."/>
      <w:lvlJc w:val="left"/>
      <w:pPr>
        <w:ind w:hanging="360" w:left="720"/>
        <w:tabs>
          <w:tab w:val="num" w:pos="720" w:leader="none"/>
        </w:tabs>
      </w:pPr>
      <w:rPr/>
    </w:lvl>
    <w:lvl w:ilvl="1">
      <w:start w:val="4"/>
      <w:numFmt w:val="decimal"/>
      <w:isLgl w:val="1"/>
      <w:suff w:val="tab"/>
      <w:lvlText w:val="%1.%2."/>
      <w:lvlJc w:val="left"/>
      <w:pPr>
        <w:ind w:hanging="360" w:left="720"/>
      </w:pPr>
      <w:rPr/>
    </w:lvl>
    <w:lvl w:ilvl="2">
      <w:start w:val="1"/>
      <w:numFmt w:val="decimal"/>
      <w:isLgl w:val="1"/>
      <w:suff w:val="tab"/>
      <w:lvlText w:val="%1.%2.%3."/>
      <w:lvlJc w:val="left"/>
      <w:pPr>
        <w:ind w:hanging="720" w:left="1080"/>
      </w:pPr>
      <w:rPr/>
    </w:lvl>
    <w:lvl w:ilvl="3">
      <w:start w:val="1"/>
      <w:numFmt w:val="decimal"/>
      <w:isLgl w:val="1"/>
      <w:suff w:val="tab"/>
      <w:lvlText w:val="%1.%2.%3.%4."/>
      <w:lvlJc w:val="left"/>
      <w:pPr>
        <w:ind w:hanging="720" w:left="1080"/>
      </w:pPr>
      <w:rPr/>
    </w:lvl>
    <w:lvl w:ilvl="4">
      <w:start w:val="1"/>
      <w:numFmt w:val="decimal"/>
      <w:isLgl w:val="1"/>
      <w:suff w:val="tab"/>
      <w:lvlText w:val="%1.%2.%3.%4.%5."/>
      <w:lvlJc w:val="left"/>
      <w:pPr>
        <w:ind w:hanging="1080" w:left="1440"/>
      </w:pPr>
      <w:rPr/>
    </w:lvl>
    <w:lvl w:ilvl="5">
      <w:start w:val="1"/>
      <w:numFmt w:val="decimal"/>
      <w:isLgl w:val="1"/>
      <w:suff w:val="tab"/>
      <w:lvlText w:val="%1.%2.%3.%4.%5.%6."/>
      <w:lvlJc w:val="left"/>
      <w:pPr>
        <w:ind w:hanging="1080" w:left="1440"/>
      </w:pPr>
      <w:rPr/>
    </w:lvl>
    <w:lvl w:ilvl="6">
      <w:start w:val="1"/>
      <w:numFmt w:val="decimal"/>
      <w:isLgl w:val="1"/>
      <w:suff w:val="tab"/>
      <w:lvlText w:val="%1.%2.%3.%4.%5.%6.%7."/>
      <w:lvlJc w:val="left"/>
      <w:pPr>
        <w:ind w:hanging="1440" w:left="1800"/>
      </w:pPr>
      <w:rPr/>
    </w:lvl>
    <w:lvl w:ilvl="7">
      <w:start w:val="1"/>
      <w:numFmt w:val="decimal"/>
      <w:isLgl w:val="1"/>
      <w:suff w:val="tab"/>
      <w:lvlText w:val="%1.%2.%3.%4.%5.%6.%7.%8."/>
      <w:lvlJc w:val="left"/>
      <w:pPr>
        <w:ind w:hanging="1440" w:left="1800"/>
      </w:pPr>
      <w:rPr/>
    </w:lvl>
    <w:lvl w:ilvl="8">
      <w:start w:val="1"/>
      <w:numFmt w:val="decimal"/>
      <w:isLgl w:val="1"/>
      <w:suff w:val="tab"/>
      <w:lvlText w:val="%1.%2.%3.%4.%5.%6.%7.%8.%9."/>
      <w:lvlJc w:val="left"/>
      <w:pPr>
        <w:ind w:hanging="1800" w:left="2160"/>
      </w:pPr>
      <w:rPr/>
    </w:lvl>
  </w:abstractNum>
  <w:abstractNum w:abstractNumId="1">
    <w:nsid w:val="6CD7370A"/>
    <w:multiLevelType w:val="hybridMultilevel"/>
    <w:lvl w:ilvl="0" w:tplc="0419000F">
      <w:start w:val="1"/>
      <w:numFmt w:val="decimal"/>
      <w:suff w:val="tab"/>
      <w:lvlText w:val="%1."/>
      <w:lvlJc w:val="left"/>
      <w:pPr>
        <w:ind w:hanging="360" w:left="720"/>
      </w:pPr>
      <w:rPr/>
    </w:lvl>
    <w:lvl w:ilvl="1" w:tplc="04190019">
      <w:start w:val="1"/>
      <w:numFmt w:val="lowerLetter"/>
      <w:suff w:val="tab"/>
      <w:lvlText w:val="%2."/>
      <w:lvlJc w:val="left"/>
      <w:pPr>
        <w:ind w:hanging="360" w:left="1440"/>
      </w:pPr>
      <w:rPr/>
    </w:lvl>
    <w:lvl w:ilvl="2" w:tplc="0419001B">
      <w:start w:val="1"/>
      <w:numFmt w:val="lowerRoman"/>
      <w:suff w:val="tab"/>
      <w:lvlText w:val="%3."/>
      <w:lvlJc w:val="right"/>
      <w:pPr>
        <w:ind w:hanging="180" w:left="2160"/>
      </w:pPr>
      <w:rPr/>
    </w:lvl>
    <w:lvl w:ilvl="3" w:tplc="0419000F">
      <w:start w:val="1"/>
      <w:numFmt w:val="decimal"/>
      <w:suff w:val="tab"/>
      <w:lvlText w:val="%4."/>
      <w:lvlJc w:val="left"/>
      <w:pPr>
        <w:ind w:hanging="360" w:left="2880"/>
      </w:pPr>
      <w:rPr/>
    </w:lvl>
    <w:lvl w:ilvl="4" w:tplc="04190019">
      <w:start w:val="1"/>
      <w:numFmt w:val="lowerLetter"/>
      <w:suff w:val="tab"/>
      <w:lvlText w:val="%5."/>
      <w:lvlJc w:val="left"/>
      <w:pPr>
        <w:ind w:hanging="360" w:left="3600"/>
      </w:pPr>
      <w:rPr/>
    </w:lvl>
    <w:lvl w:ilvl="5" w:tplc="0419001B">
      <w:start w:val="1"/>
      <w:numFmt w:val="lowerRoman"/>
      <w:suff w:val="tab"/>
      <w:lvlText w:val="%6."/>
      <w:lvlJc w:val="right"/>
      <w:pPr>
        <w:ind w:hanging="180" w:left="4320"/>
      </w:pPr>
      <w:rPr/>
    </w:lvl>
    <w:lvl w:ilvl="6" w:tplc="0419000F">
      <w:start w:val="1"/>
      <w:numFmt w:val="decimal"/>
      <w:suff w:val="tab"/>
      <w:lvlText w:val="%7."/>
      <w:lvlJc w:val="left"/>
      <w:pPr>
        <w:ind w:hanging="360" w:left="5040"/>
      </w:pPr>
      <w:rPr/>
    </w:lvl>
    <w:lvl w:ilvl="7" w:tplc="04190019">
      <w:start w:val="1"/>
      <w:numFmt w:val="lowerLetter"/>
      <w:suff w:val="tab"/>
      <w:lvlText w:val="%8."/>
      <w:lvlJc w:val="left"/>
      <w:pPr>
        <w:ind w:hanging="360" w:left="5760"/>
      </w:pPr>
      <w:rPr/>
    </w:lvl>
    <w:lvl w:ilvl="8" w:tplc="0419001B">
      <w:start w:val="1"/>
      <w:numFmt w:val="lowerRoman"/>
      <w:suff w:val="tab"/>
      <w:lvlText w:val="%9."/>
      <w:lvlJc w:val="right"/>
      <w:pPr>
        <w:ind w:hanging="180" w:left="6480"/>
      </w:pPr>
      <w:rPr/>
    </w:lvl>
  </w:abstractNum>
  <w:num w:numId="1">
    <w:abstractNumId w:val="1"/>
  </w:num>
  <w:num w:numId="2">
    <w:abstractNumId w:val="0"/>
  </w:num>
</w:numbering>
</file>

<file path=word/settings.xml><?xml version="1.0" encoding="utf-8"?>
<w:settings xmlns:w="http://schemas.openxmlformats.org/wordprocessingml/2006/main">
  <w:displayBackgroundShape w:val="0"/>
  <w:defaultTabStop w:val="708"/>
  <w:autoHyphenation w:val="0"/>
  <w:hyphenationZone w:val="425"/>
  <w:evenAndOddHeaders w:val="0"/>
  <w:compat>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sz w:val="22"/>
        <w:szCs w:val="22"/>
        <w:lang w:val="uk-UA" w:bidi="ar-SA" w:eastAsia="uk-UA"/>
      </w:rPr>
    </w:rPrDefault>
    <w:pPrDefault>
      <w:pPr>
        <w:keepNext w:val="0"/>
        <w:keepLines w:val="0"/>
        <w:pageBreakBefore w:val="0"/>
        <w:widowControl w:val="1"/>
        <w:suppressLineNumbers w:val="0"/>
        <w:shd w:val="clear" w:fill="auto"/>
        <w:suppressAutoHyphens w:val="0"/>
        <w:spacing w:lineRule="auto" w:line="276" w:before="0" w:after="200" w:beforeAutospacing="0" w:afterAutospacing="0"/>
        <w:ind w:firstLine="0" w:left="0" w:right="0"/>
        <w:contextualSpacing w:val="0"/>
        <w:bidi w:val="0"/>
        <w:jc w:val="left"/>
        <w:outlineLvl w:val="9"/>
      </w:pPr>
    </w:pPrDefault>
  </w:docDefaults>
  <w:style w:type="paragraph" w:styleId="P0" w:default="1">
    <w:name w:val="Normal"/>
    <w:qFormat/>
    <w:pPr/>
    <w:rPr/>
  </w:style>
  <w:style w:type="paragraph" w:styleId="P1">
    <w:name w:val="Body Text"/>
    <w:basedOn w:val="P0"/>
    <w:link w:val="C3"/>
    <w:pPr>
      <w:spacing w:lineRule="auto" w:line="240" w:after="0" w:beforeAutospacing="0" w:afterAutospacing="0"/>
      <w:jc w:val="both"/>
    </w:pPr>
    <w:rPr>
      <w:rFonts w:ascii="Times New Roman" w:hAnsi="Times New Roman"/>
      <w:sz w:val="24"/>
      <w:szCs w:val="24"/>
      <w:lang w:eastAsia="ru-RU"/>
    </w:rPr>
  </w:style>
  <w:style w:type="character" w:styleId="C0" w:default="1">
    <w:name w:val="Default Paragraph Font"/>
    <w:semiHidden/>
    <w:rPr/>
  </w:style>
  <w:style w:type="character" w:styleId="C1">
    <w:name w:val="Line Number"/>
    <w:basedOn w:val="C0"/>
    <w:semiHidden/>
    <w:rPr/>
  </w:style>
  <w:style w:type="character" w:styleId="C2">
    <w:name w:val="Hyperlink"/>
    <w:basedOn w:val="C0"/>
    <w:rPr>
      <w:color w:val="0000FF"/>
      <w:u w:val="single"/>
    </w:rPr>
  </w:style>
  <w:style w:type="character" w:styleId="C3">
    <w:name w:val="Основной текст Знак"/>
    <w:basedOn w:val="C0"/>
    <w:link w:val="P1"/>
    <w:semiHidden/>
    <w:rPr/>
  </w:style>
  <w:style w:type="character" w:styleId="C4">
    <w:name w:val="Основной текст Знак1"/>
    <w:basedOn w:val="C0"/>
    <w:rPr>
      <w:rFonts w:ascii="Times New Roman" w:hAnsi="Times New Roman"/>
      <w:sz w:val="24"/>
      <w:szCs w:val="24"/>
      <w:lang w:eastAsia="ru-RU"/>
    </w:rPr>
  </w:style>
  <w:style w:type="table" w:styleId="T0" w:default="1">
    <w:name w:val="Normal Table"/>
    <w:semiHidden/>
    <w:qFormat/>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numbering" w:styleId="N0">
    <w:name w:val="No List"/>
  </w:style>
</w:styles>
</file>

<file path=word/_rels/document.xml.rels>&#65279;<?xml version="1.0" encoding="utf-8"?><Relationships xmlns="http://schemas.openxmlformats.org/package/2006/relationships"><Relationship Id="R2" Type="http://schemas.openxmlformats.org/officeDocument/2006/relationships/hyperlink" Target="https://zakon.rada.gov.ua/laws/show/2755-17" TargetMode="External" /><Relationship Id="RelHdr1" Type="http://schemas.openxmlformats.org/officeDocument/2006/relationships/header" Target="header1.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_rels/header1.xml.rels>&#65279;<?xml version="1.0" encoding="utf-8"?><Relationships xmlns="http://schemas.openxmlformats.org/package/2006/relationships" />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theme>
</file>

<file path=docProps/app.xml><?xml version="1.0" encoding="utf-8"?>
<Properties xmlns="http://schemas.openxmlformats.org/officeDocument/2006/extended-properties">
  <Application>DevExpress Office File API/21.1.3.0</Application>
  <AppVersion>21.1</AppVersion>
  <Company>Reanimator Extreme Edition</Company>
  <Template>Normal</Template>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d11-hudyma</dc:creator>
  <dcterms:created xsi:type="dcterms:W3CDTF">2023-02-17T13:16:00Z</dcterms:created>
  <cp:lastModifiedBy>askod</cp:lastModifiedBy>
  <cp:lastPrinted>2023-02-20T06:13:00Z</cp:lastPrinted>
  <dcterms:modified xsi:type="dcterms:W3CDTF">2023-03-15T10:07:43Z</dcterms:modified>
  <cp:revision>23</cp:revision>
</cp:coreProperties>
</file>